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DC 20549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Proxy Statement Pursuant to Section 14(a) of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Exchange Act of 1934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(Amendment No. 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§14a-11(c) or Rule 14a-12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AtriCure,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948055</wp:posOffset>
            </wp:positionH>
            <wp:positionV relativeFrom="paragraph">
              <wp:posOffset>193040</wp:posOffset>
            </wp:positionV>
            <wp:extent cx="525462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4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035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603250</wp:posOffset>
            </wp:positionV>
            <wp:extent cx="6000750" cy="7338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33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603250</wp:posOffset>
            </wp:positionV>
            <wp:extent cx="6000750" cy="76727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67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757555</wp:posOffset>
            </wp:positionV>
            <wp:extent cx="6000750" cy="7054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05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603250</wp:posOffset>
            </wp:positionV>
            <wp:extent cx="6000750" cy="7612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61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2026-04-06T10:57:17Z</dcterms:created>
  <dcterms:modified xsi:type="dcterms:W3CDTF">2026-04-06T10:57:17Z</dcterms:modified>
</cp:coreProperties>
</file>