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Doraiswamy Vinayak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7555 INNOVATION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AtriCure,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7"/>
                <w:szCs w:val="17"/>
                <w:color w:val="0000FF"/>
              </w:rPr>
              <w:t>MASON</w:t>
            </w:r>
          </w:p>
        </w:tc>
        <w:tc>
          <w:tcPr>
            <w:tcW w:w="82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97"/>
              </w:rPr>
              <w:t>OH</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45040-9695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636</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92,511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pursuant to the AtriCure, Inc. 2018 Employee Stock Purchase Plan for the period ended June 30, 2026.</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of the issuer's common stock on June 30, 2026, which is the last trading day of the applicable offering period. The closing price on June 30, 2026, was $27.98.</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Allison Walker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6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Vinayak</w:t>
        <w:tab/>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 Doraiswamy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781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781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2458" TargetMode="External"/><Relationship Id="rId14" Type="http://schemas.openxmlformats.org/officeDocument/2006/relationships/hyperlink" Target="http://www.sec.gov/cgi-bin/browse-edgar?action=getcompany&amp;CIK=0001323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2026-07-02T08:06:43Z</dcterms:created>
  <dcterms:modified xsi:type="dcterms:W3CDTF">2026-07-02T08:06:43Z</dcterms:modified>
</cp:coreProperties>
</file>